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cme" w:cs="Acme" w:eastAsia="Acme" w:hAnsi="Acme"/>
          <w:sz w:val="32"/>
          <w:szCs w:val="32"/>
        </w:rPr>
      </w:pPr>
      <w:r w:rsidDel="00000000" w:rsidR="00000000" w:rsidRPr="00000000">
        <w:rPr>
          <w:rFonts w:ascii="Acme" w:cs="Acme" w:eastAsia="Acme" w:hAnsi="Acme"/>
          <w:sz w:val="32"/>
          <w:szCs w:val="32"/>
          <w:rtl w:val="0"/>
        </w:rPr>
        <w:t xml:space="preserve">5th Grade Summer Assignment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203788</wp:posOffset>
            </wp:positionV>
            <wp:extent cx="1876425" cy="24384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76425" cy="2438400"/>
                    </a:xfrm>
                    <a:prstGeom prst="rect"/>
                    <a:ln/>
                  </pic:spPr>
                </pic:pic>
              </a:graphicData>
            </a:graphic>
          </wp:anchor>
        </w:drawing>
      </w:r>
    </w:p>
    <w:p w:rsidR="00000000" w:rsidDel="00000000" w:rsidP="00000000" w:rsidRDefault="00000000" w:rsidRPr="00000000" w14:paraId="00000004">
      <w:pPr>
        <w:numPr>
          <w:ilvl w:val="0"/>
          <w:numId w:val="2"/>
        </w:numPr>
        <w:ind w:left="720" w:hanging="360"/>
        <w:rPr>
          <w:rFonts w:ascii="Acme" w:cs="Acme" w:eastAsia="Acme" w:hAnsi="Acme"/>
          <w:sz w:val="26"/>
          <w:szCs w:val="26"/>
          <w:u w:val="none"/>
        </w:rPr>
      </w:pPr>
      <w:r w:rsidDel="00000000" w:rsidR="00000000" w:rsidRPr="00000000">
        <w:rPr>
          <w:rFonts w:ascii="Acme" w:cs="Acme" w:eastAsia="Acme" w:hAnsi="Acme"/>
          <w:sz w:val="26"/>
          <w:szCs w:val="26"/>
          <w:rtl w:val="0"/>
        </w:rPr>
        <w:t xml:space="preserve">Read the book  </w:t>
      </w:r>
      <w:r w:rsidDel="00000000" w:rsidR="00000000" w:rsidRPr="00000000">
        <w:rPr>
          <w:rFonts w:ascii="Acme" w:cs="Acme" w:eastAsia="Acme" w:hAnsi="Acme"/>
          <w:i w:val="1"/>
          <w:sz w:val="26"/>
          <w:szCs w:val="26"/>
          <w:u w:val="single"/>
          <w:rtl w:val="0"/>
        </w:rPr>
        <w:t xml:space="preserve">The Red Pencil</w:t>
      </w:r>
      <w:r w:rsidDel="00000000" w:rsidR="00000000" w:rsidRPr="00000000">
        <w:rPr>
          <w:rFonts w:ascii="Acme" w:cs="Acme" w:eastAsia="Acme" w:hAnsi="Acme"/>
          <w:sz w:val="26"/>
          <w:szCs w:val="26"/>
          <w:rtl w:val="0"/>
        </w:rPr>
        <w:t xml:space="preserve"> by Andrea Davis Pinkney . Complete the following questions to be submitted during the first week of school ( September 13, 2021)</w:t>
      </w:r>
    </w:p>
    <w:p w:rsidR="00000000" w:rsidDel="00000000" w:rsidP="00000000" w:rsidRDefault="00000000" w:rsidRPr="00000000" w14:paraId="00000005">
      <w:pPr>
        <w:rPr>
          <w:rFonts w:ascii="Acme" w:cs="Acme" w:eastAsia="Acme" w:hAnsi="Acme"/>
          <w:sz w:val="26"/>
          <w:szCs w:val="26"/>
        </w:rPr>
      </w:pPr>
      <w:r w:rsidDel="00000000" w:rsidR="00000000" w:rsidRPr="00000000">
        <w:rPr>
          <w:rtl w:val="0"/>
        </w:rPr>
      </w:r>
    </w:p>
    <w:p w:rsidR="00000000" w:rsidDel="00000000" w:rsidP="00000000" w:rsidRDefault="00000000" w:rsidRPr="00000000" w14:paraId="00000006">
      <w:pPr>
        <w:rPr>
          <w:rFonts w:ascii="Acme" w:cs="Acme" w:eastAsia="Acme" w:hAnsi="Acme"/>
          <w:sz w:val="26"/>
          <w:szCs w:val="26"/>
        </w:rPr>
      </w:pPr>
      <w:r w:rsidDel="00000000" w:rsidR="00000000" w:rsidRPr="00000000">
        <w:rPr>
          <w:rFonts w:ascii="Acme" w:cs="Acme" w:eastAsia="Acme" w:hAnsi="Acme"/>
          <w:sz w:val="26"/>
          <w:szCs w:val="26"/>
          <w:rtl w:val="0"/>
        </w:rPr>
        <w:t xml:space="preserve">After her tribal village is attacked by militants, Amira, a young Sudanese girl, must flee to safety at a refugee camp, where she finds hope and the chance to pursue an education in the form of a single red pencil and the friendship and encouragement of a wise elder.</w:t>
      </w:r>
    </w:p>
    <w:p w:rsidR="00000000" w:rsidDel="00000000" w:rsidP="00000000" w:rsidRDefault="00000000" w:rsidRPr="00000000" w14:paraId="00000007">
      <w:pPr>
        <w:rPr>
          <w:rFonts w:ascii="Acme" w:cs="Acme" w:eastAsia="Acme" w:hAnsi="Acme"/>
          <w:sz w:val="26"/>
          <w:szCs w:val="26"/>
        </w:rPr>
      </w:pPr>
      <w:r w:rsidDel="00000000" w:rsidR="00000000" w:rsidRPr="00000000">
        <w:rPr>
          <w:rtl w:val="0"/>
        </w:rPr>
      </w:r>
    </w:p>
    <w:p w:rsidR="00000000" w:rsidDel="00000000" w:rsidP="00000000" w:rsidRDefault="00000000" w:rsidRPr="00000000" w14:paraId="00000008">
      <w:pPr>
        <w:rPr>
          <w:rFonts w:ascii="Acme" w:cs="Acme" w:eastAsia="Acme" w:hAnsi="Acme"/>
          <w:sz w:val="26"/>
          <w:szCs w:val="26"/>
        </w:rPr>
      </w:pPr>
      <w:r w:rsidDel="00000000" w:rsidR="00000000" w:rsidRPr="00000000">
        <w:rPr>
          <w:rFonts w:ascii="Acme" w:cs="Acme" w:eastAsia="Acme" w:hAnsi="Acme"/>
          <w:sz w:val="26"/>
          <w:szCs w:val="26"/>
          <w:rtl w:val="0"/>
        </w:rPr>
        <w:t xml:space="preserve">Questions can be completed as a google doc, google slide, or padlet. These will be shared with your 5th  grade teacher in September. Make sure that the questions are answered in complete sentences, using text evidence  to support your understanding.</w:t>
      </w:r>
    </w:p>
    <w:p w:rsidR="00000000" w:rsidDel="00000000" w:rsidP="00000000" w:rsidRDefault="00000000" w:rsidRPr="00000000" w14:paraId="00000009">
      <w:pPr>
        <w:numPr>
          <w:ilvl w:val="0"/>
          <w:numId w:val="1"/>
        </w:numPr>
        <w:ind w:left="720" w:hanging="360"/>
        <w:rPr>
          <w:rFonts w:ascii="Acme" w:cs="Acme" w:eastAsia="Acme" w:hAnsi="Acme"/>
          <w:sz w:val="26"/>
          <w:szCs w:val="26"/>
          <w:u w:val="none"/>
        </w:rPr>
      </w:pPr>
      <w:r w:rsidDel="00000000" w:rsidR="00000000" w:rsidRPr="00000000">
        <w:rPr>
          <w:rFonts w:ascii="Acme" w:cs="Acme" w:eastAsia="Acme" w:hAnsi="Acme"/>
          <w:sz w:val="26"/>
          <w:szCs w:val="26"/>
          <w:rtl w:val="0"/>
        </w:rPr>
        <w:t xml:space="preserve">Amira’s birthday is an important family occasion. What is so special about her twelfth birthday? What do her parents, Dando and Muma, say about her birthday? What do their words tell you about Amira?</w:t>
      </w:r>
    </w:p>
    <w:p w:rsidR="00000000" w:rsidDel="00000000" w:rsidP="00000000" w:rsidRDefault="00000000" w:rsidRPr="00000000" w14:paraId="0000000A">
      <w:pPr>
        <w:numPr>
          <w:ilvl w:val="0"/>
          <w:numId w:val="1"/>
        </w:numPr>
        <w:ind w:left="720" w:hanging="360"/>
        <w:rPr>
          <w:rFonts w:ascii="Acme" w:cs="Acme" w:eastAsia="Acme" w:hAnsi="Acme"/>
          <w:sz w:val="26"/>
          <w:szCs w:val="26"/>
          <w:u w:val="none"/>
        </w:rPr>
      </w:pPr>
      <w:r w:rsidDel="00000000" w:rsidR="00000000" w:rsidRPr="00000000">
        <w:rPr>
          <w:rFonts w:ascii="Acme" w:cs="Acme" w:eastAsia="Acme" w:hAnsi="Acme"/>
          <w:sz w:val="26"/>
          <w:szCs w:val="26"/>
          <w:rtl w:val="0"/>
        </w:rPr>
        <w:t xml:space="preserve">Amira, her mother, Leila, and Gamal are greatly affected by the outcome of the raid. How does each cope with grief in the aftermath? How do their behaviors change?</w:t>
      </w:r>
    </w:p>
    <w:p w:rsidR="00000000" w:rsidDel="00000000" w:rsidP="00000000" w:rsidRDefault="00000000" w:rsidRPr="00000000" w14:paraId="0000000B">
      <w:pPr>
        <w:numPr>
          <w:ilvl w:val="0"/>
          <w:numId w:val="1"/>
        </w:numPr>
        <w:ind w:left="720" w:hanging="360"/>
        <w:rPr>
          <w:rFonts w:ascii="Acme" w:cs="Acme" w:eastAsia="Acme" w:hAnsi="Acme"/>
          <w:sz w:val="26"/>
          <w:szCs w:val="26"/>
          <w:u w:val="none"/>
        </w:rPr>
      </w:pPr>
      <w:r w:rsidDel="00000000" w:rsidR="00000000" w:rsidRPr="00000000">
        <w:rPr>
          <w:rFonts w:ascii="Acme" w:cs="Acme" w:eastAsia="Acme" w:hAnsi="Acme"/>
          <w:sz w:val="26"/>
          <w:szCs w:val="26"/>
          <w:rtl w:val="0"/>
        </w:rPr>
        <w:t xml:space="preserve">When Amira shows her red pencil to Old Anwar, he responds, “It suits you...Such a bold color. Strong.” After she shares her drawings, he looks closely and says, “Healing.” What is the message he is conveying to her?</w:t>
      </w:r>
    </w:p>
    <w:p w:rsidR="00000000" w:rsidDel="00000000" w:rsidP="00000000" w:rsidRDefault="00000000" w:rsidRPr="00000000" w14:paraId="0000000C">
      <w:pPr>
        <w:numPr>
          <w:ilvl w:val="0"/>
          <w:numId w:val="1"/>
        </w:numPr>
        <w:ind w:left="720" w:hanging="360"/>
        <w:rPr>
          <w:rFonts w:ascii="Acme" w:cs="Acme" w:eastAsia="Acme" w:hAnsi="Acme"/>
          <w:sz w:val="26"/>
          <w:szCs w:val="26"/>
          <w:u w:val="none"/>
        </w:rPr>
      </w:pPr>
      <w:r w:rsidDel="00000000" w:rsidR="00000000" w:rsidRPr="00000000">
        <w:rPr>
          <w:rFonts w:ascii="Acme" w:cs="Acme" w:eastAsia="Acme" w:hAnsi="Acme"/>
          <w:sz w:val="26"/>
          <w:szCs w:val="26"/>
          <w:rtl w:val="0"/>
        </w:rPr>
        <w:t xml:space="preserve">The last verse of the story is titled “Flight.” How does this word reflect the essence of the story? What other word could you use to describe the culminating theme?</w:t>
      </w:r>
    </w:p>
    <w:p w:rsidR="00000000" w:rsidDel="00000000" w:rsidP="00000000" w:rsidRDefault="00000000" w:rsidRPr="00000000" w14:paraId="0000000D">
      <w:pPr>
        <w:rPr>
          <w:rFonts w:ascii="Acme" w:cs="Acme" w:eastAsia="Acme" w:hAnsi="Acme"/>
          <w:sz w:val="26"/>
          <w:szCs w:val="26"/>
        </w:rPr>
      </w:pPr>
      <w:r w:rsidDel="00000000" w:rsidR="00000000" w:rsidRPr="00000000">
        <w:rPr>
          <w:rtl w:val="0"/>
        </w:rPr>
      </w:r>
    </w:p>
    <w:p w:rsidR="00000000" w:rsidDel="00000000" w:rsidP="00000000" w:rsidRDefault="00000000" w:rsidRPr="00000000" w14:paraId="0000000E">
      <w:pPr>
        <w:numPr>
          <w:ilvl w:val="0"/>
          <w:numId w:val="2"/>
        </w:numPr>
        <w:ind w:left="720" w:hanging="360"/>
        <w:rPr>
          <w:rFonts w:ascii="Acme" w:cs="Acme" w:eastAsia="Acme" w:hAnsi="Acme"/>
          <w:sz w:val="26"/>
          <w:szCs w:val="26"/>
          <w:u w:val="none"/>
        </w:rPr>
      </w:pPr>
      <w:r w:rsidDel="00000000" w:rsidR="00000000" w:rsidRPr="00000000">
        <w:rPr>
          <w:rFonts w:ascii="Acme" w:cs="Acme" w:eastAsia="Acme" w:hAnsi="Acme"/>
          <w:sz w:val="26"/>
          <w:szCs w:val="26"/>
          <w:rtl w:val="0"/>
        </w:rPr>
        <w:t xml:space="preserve">IXL - Math practice. Please work on an hour of 4th grade IXL math skills in July and an hour of 5th grade IXL math skills in August. Please submit a list of the skills that you worked on or complete the following table.</w:t>
      </w:r>
    </w:p>
    <w:p w:rsidR="00000000" w:rsidDel="00000000" w:rsidP="00000000" w:rsidRDefault="00000000" w:rsidRPr="00000000" w14:paraId="0000000F">
      <w:pPr>
        <w:ind w:left="720" w:firstLine="0"/>
        <w:rPr>
          <w:rFonts w:ascii="Acme" w:cs="Acme" w:eastAsia="Acme" w:hAnsi="Acme"/>
          <w:sz w:val="26"/>
          <w:szCs w:val="26"/>
        </w:rPr>
      </w:pPr>
      <w:r w:rsidDel="00000000" w:rsidR="00000000" w:rsidRPr="00000000">
        <w:rPr>
          <w:rtl w:val="0"/>
        </w:rPr>
      </w:r>
    </w:p>
    <w:p w:rsidR="00000000" w:rsidDel="00000000" w:rsidP="00000000" w:rsidRDefault="00000000" w:rsidRPr="00000000" w14:paraId="00000010">
      <w:pPr>
        <w:ind w:left="720" w:firstLine="0"/>
        <w:rPr>
          <w:rFonts w:ascii="Acme" w:cs="Acme" w:eastAsia="Acme" w:hAnsi="Acme"/>
          <w:sz w:val="26"/>
          <w:szCs w:val="26"/>
        </w:rPr>
      </w:pPr>
      <w:r w:rsidDel="00000000" w:rsidR="00000000" w:rsidRPr="00000000">
        <w:rPr>
          <w:rtl w:val="0"/>
        </w:rPr>
      </w:r>
    </w:p>
    <w:p w:rsidR="00000000" w:rsidDel="00000000" w:rsidP="00000000" w:rsidRDefault="00000000" w:rsidRPr="00000000" w14:paraId="00000011">
      <w:pPr>
        <w:ind w:left="720" w:firstLine="0"/>
        <w:rPr>
          <w:rFonts w:ascii="Acme" w:cs="Acme" w:eastAsia="Acme" w:hAnsi="Acme"/>
          <w:sz w:val="26"/>
          <w:szCs w:val="26"/>
        </w:rPr>
      </w:pPr>
      <w:r w:rsidDel="00000000" w:rsidR="00000000" w:rsidRPr="00000000">
        <w:rPr>
          <w:rtl w:val="0"/>
        </w:rPr>
      </w:r>
    </w:p>
    <w:p w:rsidR="00000000" w:rsidDel="00000000" w:rsidP="00000000" w:rsidRDefault="00000000" w:rsidRPr="00000000" w14:paraId="00000012">
      <w:pPr>
        <w:ind w:left="720" w:firstLine="0"/>
        <w:rPr>
          <w:rFonts w:ascii="Acme" w:cs="Acme" w:eastAsia="Acme" w:hAnsi="Acme"/>
          <w:sz w:val="26"/>
          <w:szCs w:val="26"/>
        </w:rPr>
      </w:pPr>
      <w:r w:rsidDel="00000000" w:rsidR="00000000" w:rsidRPr="00000000">
        <w:rPr>
          <w:rtl w:val="0"/>
        </w:rPr>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tblGridChange w:id="0">
          <w:tblGrid>
            <w:gridCol w:w="2160"/>
            <w:gridCol w:w="2160"/>
            <w:gridCol w:w="2160"/>
            <w:gridCol w:w="21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sz w:val="26"/>
                <w:szCs w:val="26"/>
              </w:rPr>
            </w:pPr>
            <w:r w:rsidDel="00000000" w:rsidR="00000000" w:rsidRPr="00000000">
              <w:rPr>
                <w:rFonts w:ascii="Acme" w:cs="Acme" w:eastAsia="Acme" w:hAnsi="Acme"/>
                <w:sz w:val="26"/>
                <w:szCs w:val="26"/>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sz w:val="26"/>
                <w:szCs w:val="26"/>
              </w:rPr>
            </w:pPr>
            <w:r w:rsidDel="00000000" w:rsidR="00000000" w:rsidRPr="00000000">
              <w:rPr>
                <w:rFonts w:ascii="Acme" w:cs="Acme" w:eastAsia="Acme" w:hAnsi="Acme"/>
                <w:sz w:val="26"/>
                <w:szCs w:val="26"/>
                <w:rtl w:val="0"/>
              </w:rPr>
              <w:t xml:space="preserve">IXL Skill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sz w:val="26"/>
                <w:szCs w:val="26"/>
              </w:rPr>
            </w:pPr>
            <w:r w:rsidDel="00000000" w:rsidR="00000000" w:rsidRPr="00000000">
              <w:rPr>
                <w:rFonts w:ascii="Acme" w:cs="Acme" w:eastAsia="Acme" w:hAnsi="Acme"/>
                <w:sz w:val="26"/>
                <w:szCs w:val="26"/>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cme" w:cs="Acme" w:eastAsia="Acme" w:hAnsi="Acme"/>
                <w:sz w:val="26"/>
                <w:szCs w:val="26"/>
              </w:rPr>
            </w:pPr>
            <w:r w:rsidDel="00000000" w:rsidR="00000000" w:rsidRPr="00000000">
              <w:rPr>
                <w:rFonts w:ascii="Acme" w:cs="Acme" w:eastAsia="Acme" w:hAnsi="Acme"/>
                <w:sz w:val="26"/>
                <w:szCs w:val="26"/>
                <w:rtl w:val="0"/>
              </w:rPr>
              <w:t xml:space="preserve">Parent Signature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cme" w:cs="Acme" w:eastAsia="Acme" w:hAnsi="Acme"/>
                <w:sz w:val="26"/>
                <w:szCs w:val="26"/>
              </w:rPr>
            </w:pPr>
            <w:r w:rsidDel="00000000" w:rsidR="00000000" w:rsidRPr="00000000">
              <w:rPr>
                <w:rtl w:val="0"/>
              </w:rPr>
            </w:r>
          </w:p>
        </w:tc>
      </w:tr>
    </w:tbl>
    <w:p w:rsidR="00000000" w:rsidDel="00000000" w:rsidP="00000000" w:rsidRDefault="00000000" w:rsidRPr="00000000" w14:paraId="0000003F">
      <w:pPr>
        <w:ind w:left="720" w:firstLine="0"/>
        <w:rPr>
          <w:rFonts w:ascii="Acme" w:cs="Acme" w:eastAsia="Acme" w:hAnsi="Acme"/>
          <w:sz w:val="26"/>
          <w:szCs w:val="26"/>
        </w:rPr>
      </w:pPr>
      <w:r w:rsidDel="00000000" w:rsidR="00000000" w:rsidRPr="00000000">
        <w:rPr>
          <w:rtl w:val="0"/>
        </w:rPr>
      </w:r>
    </w:p>
    <w:p w:rsidR="00000000" w:rsidDel="00000000" w:rsidP="00000000" w:rsidRDefault="00000000" w:rsidRPr="00000000" w14:paraId="00000040">
      <w:pPr>
        <w:numPr>
          <w:ilvl w:val="0"/>
          <w:numId w:val="2"/>
        </w:numPr>
        <w:ind w:left="720" w:hanging="360"/>
        <w:rPr>
          <w:rFonts w:ascii="Acme" w:cs="Acme" w:eastAsia="Acme" w:hAnsi="Acme"/>
          <w:sz w:val="26"/>
          <w:szCs w:val="26"/>
        </w:rPr>
      </w:pPr>
      <w:r w:rsidDel="00000000" w:rsidR="00000000" w:rsidRPr="00000000">
        <w:rPr>
          <w:rFonts w:ascii="Acme" w:cs="Acme" w:eastAsia="Acme" w:hAnsi="Acme"/>
          <w:sz w:val="26"/>
          <w:szCs w:val="26"/>
          <w:rtl w:val="0"/>
        </w:rPr>
        <w:t xml:space="preserve">Choose a nonfiction book on your favorite topic, person, event to read about. Complete the following questions either as a google doc, google slides or padlet. These will be shared with your 5th  grade teacher in September</w:t>
      </w:r>
    </w:p>
    <w:p w:rsidR="00000000" w:rsidDel="00000000" w:rsidP="00000000" w:rsidRDefault="00000000" w:rsidRPr="00000000" w14:paraId="00000041">
      <w:pPr>
        <w:numPr>
          <w:ilvl w:val="1"/>
          <w:numId w:val="2"/>
        </w:numPr>
        <w:ind w:left="1440" w:hanging="360"/>
        <w:rPr>
          <w:rFonts w:ascii="Acme" w:cs="Acme" w:eastAsia="Acme" w:hAnsi="Acme"/>
          <w:sz w:val="26"/>
          <w:szCs w:val="26"/>
          <w:u w:val="none"/>
        </w:rPr>
      </w:pPr>
      <w:r w:rsidDel="00000000" w:rsidR="00000000" w:rsidRPr="00000000">
        <w:rPr>
          <w:rFonts w:ascii="Acme" w:cs="Acme" w:eastAsia="Acme" w:hAnsi="Acme"/>
          <w:sz w:val="26"/>
          <w:szCs w:val="26"/>
          <w:rtl w:val="0"/>
        </w:rPr>
        <w:t xml:space="preserve">Title &amp; author of book</w:t>
      </w:r>
    </w:p>
    <w:p w:rsidR="00000000" w:rsidDel="00000000" w:rsidP="00000000" w:rsidRDefault="00000000" w:rsidRPr="00000000" w14:paraId="00000042">
      <w:pPr>
        <w:numPr>
          <w:ilvl w:val="1"/>
          <w:numId w:val="2"/>
        </w:numPr>
        <w:ind w:left="1440" w:hanging="360"/>
        <w:rPr>
          <w:rFonts w:ascii="Acme" w:cs="Acme" w:eastAsia="Acme" w:hAnsi="Acme"/>
          <w:sz w:val="26"/>
          <w:szCs w:val="26"/>
          <w:u w:val="none"/>
        </w:rPr>
      </w:pPr>
      <w:r w:rsidDel="00000000" w:rsidR="00000000" w:rsidRPr="00000000">
        <w:rPr>
          <w:rFonts w:ascii="Acme" w:cs="Acme" w:eastAsia="Acme" w:hAnsi="Acme"/>
          <w:sz w:val="26"/>
          <w:szCs w:val="26"/>
          <w:rtl w:val="0"/>
        </w:rPr>
        <w:t xml:space="preserve">Main Ideas of the book</w:t>
      </w:r>
    </w:p>
    <w:p w:rsidR="00000000" w:rsidDel="00000000" w:rsidP="00000000" w:rsidRDefault="00000000" w:rsidRPr="00000000" w14:paraId="00000043">
      <w:pPr>
        <w:numPr>
          <w:ilvl w:val="1"/>
          <w:numId w:val="2"/>
        </w:numPr>
        <w:ind w:left="1440" w:hanging="360"/>
        <w:rPr>
          <w:rFonts w:ascii="Acme" w:cs="Acme" w:eastAsia="Acme" w:hAnsi="Acme"/>
          <w:sz w:val="26"/>
          <w:szCs w:val="26"/>
          <w:u w:val="none"/>
        </w:rPr>
      </w:pPr>
      <w:r w:rsidDel="00000000" w:rsidR="00000000" w:rsidRPr="00000000">
        <w:rPr>
          <w:rFonts w:ascii="Acme" w:cs="Acme" w:eastAsia="Acme" w:hAnsi="Acme"/>
          <w:sz w:val="26"/>
          <w:szCs w:val="26"/>
          <w:rtl w:val="0"/>
        </w:rPr>
        <w:t xml:space="preserve">Interesting facts you learned (5 - 10 facts)</w:t>
      </w:r>
    </w:p>
    <w:p w:rsidR="00000000" w:rsidDel="00000000" w:rsidP="00000000" w:rsidRDefault="00000000" w:rsidRPr="00000000" w14:paraId="00000044">
      <w:pPr>
        <w:numPr>
          <w:ilvl w:val="1"/>
          <w:numId w:val="2"/>
        </w:numPr>
        <w:ind w:left="1440" w:hanging="360"/>
        <w:rPr>
          <w:rFonts w:ascii="Acme" w:cs="Acme" w:eastAsia="Acme" w:hAnsi="Acme"/>
          <w:sz w:val="26"/>
          <w:szCs w:val="26"/>
          <w:u w:val="none"/>
        </w:rPr>
      </w:pPr>
      <w:r w:rsidDel="00000000" w:rsidR="00000000" w:rsidRPr="00000000">
        <w:rPr>
          <w:rFonts w:ascii="Acme" w:cs="Acme" w:eastAsia="Acme" w:hAnsi="Acme"/>
          <w:sz w:val="26"/>
          <w:szCs w:val="26"/>
          <w:rtl w:val="0"/>
        </w:rPr>
        <w:t xml:space="preserve">Wow - vocabulary (5-10 words)</w:t>
      </w:r>
    </w:p>
    <w:p w:rsidR="00000000" w:rsidDel="00000000" w:rsidP="00000000" w:rsidRDefault="00000000" w:rsidRPr="00000000" w14:paraId="00000045">
      <w:pPr>
        <w:numPr>
          <w:ilvl w:val="1"/>
          <w:numId w:val="2"/>
        </w:numPr>
        <w:ind w:left="1440" w:hanging="360"/>
        <w:rPr>
          <w:rFonts w:ascii="Acme" w:cs="Acme" w:eastAsia="Acme" w:hAnsi="Acme"/>
          <w:sz w:val="26"/>
          <w:szCs w:val="26"/>
          <w:u w:val="none"/>
        </w:rPr>
      </w:pPr>
      <w:r w:rsidDel="00000000" w:rsidR="00000000" w:rsidRPr="00000000">
        <w:rPr>
          <w:rFonts w:ascii="Acme" w:cs="Acme" w:eastAsia="Acme" w:hAnsi="Acme"/>
          <w:sz w:val="26"/>
          <w:szCs w:val="26"/>
          <w:rtl w:val="0"/>
        </w:rPr>
        <w:t xml:space="preserve">Why did you choose this book?</w:t>
      </w:r>
    </w:p>
    <w:p w:rsidR="00000000" w:rsidDel="00000000" w:rsidP="00000000" w:rsidRDefault="00000000" w:rsidRPr="00000000" w14:paraId="00000046">
      <w:pPr>
        <w:rPr>
          <w:rFonts w:ascii="Acme" w:cs="Acme" w:eastAsia="Acme" w:hAnsi="Acme"/>
          <w:sz w:val="26"/>
          <w:szCs w:val="26"/>
        </w:rPr>
      </w:pPr>
      <w:r w:rsidDel="00000000" w:rsidR="00000000" w:rsidRPr="00000000">
        <w:rPr>
          <w:rtl w:val="0"/>
        </w:rPr>
      </w:r>
    </w:p>
    <w:p w:rsidR="00000000" w:rsidDel="00000000" w:rsidP="00000000" w:rsidRDefault="00000000" w:rsidRPr="00000000" w14:paraId="00000047">
      <w:pPr>
        <w:numPr>
          <w:ilvl w:val="0"/>
          <w:numId w:val="2"/>
        </w:numPr>
        <w:ind w:left="720" w:hanging="360"/>
        <w:rPr>
          <w:rFonts w:ascii="Acme" w:cs="Acme" w:eastAsia="Acme" w:hAnsi="Acme"/>
          <w:sz w:val="26"/>
          <w:szCs w:val="26"/>
          <w:u w:val="none"/>
        </w:rPr>
      </w:pPr>
      <w:r w:rsidDel="00000000" w:rsidR="00000000" w:rsidRPr="00000000">
        <w:rPr>
          <w:rFonts w:ascii="Acme" w:cs="Acme" w:eastAsia="Acme" w:hAnsi="Acme"/>
          <w:sz w:val="26"/>
          <w:szCs w:val="26"/>
          <w:rtl w:val="0"/>
        </w:rPr>
        <w:t xml:space="preserve">Please continue to work on your reading life.. Read daily for 30 minutes to continue all the wonderful work you did this year. Use Epic and myON and  Sora (https://teachhub.schools.nyc/ ) to have access to a wide variety of books.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cm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cm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